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2D" w:rsidRDefault="007662DB">
      <w:pPr>
        <w:widowControl w:val="0"/>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Appendix 8j-6</w:t>
      </w:r>
      <w:bookmarkStart w:id="0" w:name="_GoBack"/>
      <w:bookmarkEnd w:id="0"/>
    </w:p>
    <w:p w:rsidR="008E052D" w:rsidRDefault="007A4176">
      <w:pPr>
        <w:widowControl w:val="0"/>
        <w:rPr>
          <w:b/>
        </w:rPr>
      </w:pPr>
      <w:r>
        <w:rPr>
          <w:b/>
          <w:sz w:val="16"/>
          <w:szCs w:val="16"/>
        </w:rPr>
        <w:t>(8/07)</w:t>
      </w:r>
      <w:r>
        <w:tab/>
      </w:r>
      <w:r>
        <w:tab/>
      </w:r>
      <w:r>
        <w:tab/>
      </w:r>
      <w:r>
        <w:tab/>
      </w:r>
      <w:r>
        <w:rPr>
          <w:b/>
        </w:rPr>
        <w:t>EDMONDS SCHOOL DISTRICT NO. 15</w:t>
      </w:r>
    </w:p>
    <w:p w:rsidR="008E052D" w:rsidRDefault="007A4176">
      <w:pPr>
        <w:widowControl w:val="0"/>
        <w:tabs>
          <w:tab w:val="center" w:pos="4680"/>
        </w:tabs>
        <w:rPr>
          <w:b/>
        </w:rPr>
      </w:pPr>
      <w:r>
        <w:rPr>
          <w:b/>
        </w:rPr>
        <w:tab/>
        <w:t>Lynnwood, WA 98036-7400</w:t>
      </w:r>
    </w:p>
    <w:p w:rsidR="008E052D" w:rsidRDefault="007A4176">
      <w:pPr>
        <w:widowControl w:val="0"/>
        <w:tabs>
          <w:tab w:val="center" w:pos="4680"/>
        </w:tabs>
        <w:rPr>
          <w:b/>
          <w:i/>
          <w:u w:val="single"/>
        </w:rPr>
      </w:pPr>
      <w:r>
        <w:rPr>
          <w:b/>
        </w:rPr>
        <w:tab/>
      </w:r>
      <w:r>
        <w:rPr>
          <w:b/>
          <w:u w:val="single"/>
        </w:rPr>
        <w:t>OBSERVATION FORM</w:t>
      </w:r>
      <w:r>
        <w:rPr>
          <w:b/>
        </w:rPr>
        <w:t xml:space="preserve"> — </w:t>
      </w:r>
      <w:r>
        <w:rPr>
          <w:b/>
          <w:i/>
          <w:u w:val="single"/>
        </w:rPr>
        <w:t>SPEECH-LANGUAGE PATHOLOGIST</w:t>
      </w:r>
      <w:r w:rsidR="00DD68C5">
        <w:rPr>
          <w:b/>
          <w:i/>
          <w:u w:val="single"/>
        </w:rPr>
        <w:t>/AUDIOLOGIST</w:t>
      </w:r>
      <w:r>
        <w:rPr>
          <w:b/>
          <w:i/>
        </w:rPr>
        <w:tab/>
      </w:r>
      <w:r>
        <w:rPr>
          <w:b/>
          <w:i/>
        </w:rPr>
        <w:tab/>
      </w:r>
      <w:r>
        <w:rPr>
          <w:b/>
          <w:i/>
        </w:rPr>
        <w:tab/>
      </w:r>
      <w:r>
        <w:rPr>
          <w:b/>
          <w:i/>
        </w:rPr>
        <w:tab/>
      </w:r>
      <w:r>
        <w:rPr>
          <w:b/>
          <w:i/>
        </w:rPr>
        <w:tab/>
      </w:r>
      <w:r>
        <w:rPr>
          <w:b/>
          <w:i/>
        </w:rPr>
        <w:tab/>
      </w:r>
    </w:p>
    <w:p w:rsidR="008E052D" w:rsidRDefault="007A4176">
      <w:pPr>
        <w:widowControl w:val="0"/>
        <w:ind w:left="5040" w:hanging="5040"/>
      </w:pPr>
      <w:r>
        <w:t xml:space="preserve">Name:  </w:t>
      </w:r>
      <w:r>
        <w:tab/>
        <w:t xml:space="preserve">Date of Observation: </w:t>
      </w:r>
    </w:p>
    <w:p w:rsidR="008E052D" w:rsidRDefault="007A4176">
      <w:pPr>
        <w:widowControl w:val="0"/>
        <w:ind w:left="5040" w:hanging="5040"/>
      </w:pPr>
      <w:r>
        <w:t xml:space="preserve">School(s): </w:t>
      </w:r>
      <w:r>
        <w:tab/>
        <w:t xml:space="preserve">Time of Observation: </w:t>
      </w:r>
    </w:p>
    <w:p w:rsidR="008E052D" w:rsidRDefault="007A4176">
      <w:pPr>
        <w:widowControl w:val="0"/>
      </w:pPr>
      <w:r>
        <w:t>Subject(s)/Grade(s)/Specialized Services:</w:t>
      </w:r>
    </w:p>
    <w:p w:rsidR="008E052D" w:rsidRDefault="007A4176">
      <w:pPr>
        <w:widowControl w:val="0"/>
        <w:jc w:val="both"/>
        <w:rPr>
          <w:sz w:val="20"/>
          <w:szCs w:val="20"/>
        </w:rPr>
      </w:pPr>
      <w:bookmarkStart w:id="1" w:name="gjdgxs" w:colFirst="0" w:colLast="0"/>
      <w:bookmarkEnd w:id="1"/>
      <w:r>
        <w:rPr>
          <w:sz w:val="20"/>
          <w:szCs w:val="20"/>
        </w:rPr>
        <w:t>This observation is based upon the following criteria and the Professional Growth Goal identified on the Professional Growth Goal Planning Worksheet.  The criteria that were observed at this time are circled, and remarks about these circled criteria are written below.</w:t>
      </w:r>
    </w:p>
    <w:tbl>
      <w:tblPr>
        <w:tblStyle w:val="a"/>
        <w:tblW w:w="1008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10080"/>
      </w:tblGrid>
      <w:tr w:rsidR="008E052D">
        <w:tc>
          <w:tcPr>
            <w:tcW w:w="10080" w:type="dxa"/>
            <w:shd w:val="clear" w:color="auto" w:fill="CCCCCC"/>
          </w:tcPr>
          <w:p w:rsidR="008E052D" w:rsidRDefault="007A4176">
            <w:pPr>
              <w:widowControl w:val="0"/>
              <w:tabs>
                <w:tab w:val="center" w:pos="4579"/>
              </w:tabs>
              <w:spacing w:before="84" w:after="40"/>
            </w:pPr>
            <w:r>
              <w:tab/>
            </w:r>
            <w:r>
              <w:rPr>
                <w:b/>
              </w:rPr>
              <w:t>CRITERIA</w:t>
            </w:r>
          </w:p>
        </w:tc>
      </w:tr>
      <w:tr w:rsidR="008E052D">
        <w:tc>
          <w:tcPr>
            <w:tcW w:w="10080" w:type="dxa"/>
          </w:tcPr>
          <w:p w:rsidR="008E052D" w:rsidRDefault="007A4176">
            <w:pPr>
              <w:widowControl w:val="0"/>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39" w:hanging="439"/>
              <w:rPr>
                <w:sz w:val="16"/>
                <w:szCs w:val="16"/>
              </w:rPr>
            </w:pPr>
            <w:r>
              <w:rPr>
                <w:sz w:val="16"/>
                <w:szCs w:val="16"/>
              </w:rPr>
              <w:t>A.</w:t>
            </w:r>
            <w:r>
              <w:rPr>
                <w:sz w:val="16"/>
                <w:szCs w:val="16"/>
              </w:rPr>
              <w:tab/>
              <w:t>Possesses a strong knowledge of normal communication development and of the impact on student learning of communication disorders in the processes of hearing, language, and/or speech.</w:t>
            </w:r>
          </w:p>
          <w:p w:rsidR="008E052D" w:rsidRDefault="007A4176">
            <w:pPr>
              <w:widowControl w:val="0"/>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sz w:val="16"/>
                <w:szCs w:val="16"/>
              </w:rPr>
            </w:pPr>
            <w:r>
              <w:rPr>
                <w:sz w:val="16"/>
                <w:szCs w:val="16"/>
              </w:rPr>
              <w:t>B.</w:t>
            </w:r>
            <w:r>
              <w:rPr>
                <w:sz w:val="16"/>
                <w:szCs w:val="16"/>
              </w:rPr>
              <w:tab/>
              <w:t>Establishes a supportive learning environment.</w:t>
            </w:r>
          </w:p>
          <w:p w:rsidR="008E052D" w:rsidRDefault="007A4176">
            <w:pPr>
              <w:widowControl w:val="0"/>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sz w:val="16"/>
                <w:szCs w:val="16"/>
              </w:rPr>
            </w:pPr>
            <w:r>
              <w:rPr>
                <w:sz w:val="16"/>
                <w:szCs w:val="16"/>
              </w:rPr>
              <w:t>C.</w:t>
            </w:r>
            <w:r>
              <w:rPr>
                <w:sz w:val="16"/>
                <w:szCs w:val="16"/>
              </w:rPr>
              <w:tab/>
              <w:t>Is responsible for assessing children’s communication abilities and developing reflective practices.</w:t>
            </w:r>
          </w:p>
          <w:p w:rsidR="008E052D" w:rsidRDefault="007A4176">
            <w:pPr>
              <w:widowControl w:val="0"/>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sz w:val="16"/>
                <w:szCs w:val="16"/>
              </w:rPr>
            </w:pPr>
            <w:r>
              <w:rPr>
                <w:sz w:val="16"/>
                <w:szCs w:val="16"/>
              </w:rPr>
              <w:t>D.</w:t>
            </w:r>
            <w:r>
              <w:rPr>
                <w:sz w:val="16"/>
                <w:szCs w:val="16"/>
              </w:rPr>
              <w:tab/>
              <w:t>Encourages connections among children, families, school, and community.</w:t>
            </w:r>
          </w:p>
          <w:p w:rsidR="008E052D" w:rsidRDefault="007A4176">
            <w:pPr>
              <w:widowControl w:val="0"/>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sz w:val="16"/>
                <w:szCs w:val="16"/>
              </w:rPr>
            </w:pPr>
            <w:r>
              <w:rPr>
                <w:sz w:val="16"/>
                <w:szCs w:val="16"/>
              </w:rPr>
              <w:t>E.</w:t>
            </w:r>
            <w:r>
              <w:rPr>
                <w:sz w:val="16"/>
                <w:szCs w:val="16"/>
              </w:rPr>
              <w:tab/>
              <w:t>Is responsible for enhancing their professional development.</w:t>
            </w:r>
          </w:p>
        </w:tc>
      </w:tr>
    </w:tbl>
    <w:p w:rsidR="008E052D" w:rsidRDefault="008E052D">
      <w:pPr>
        <w:spacing w:after="0" w:line="240" w:lineRule="auto"/>
        <w:rPr>
          <w:rFonts w:ascii="Times New Roman" w:eastAsia="Times New Roman" w:hAnsi="Times New Roman" w:cs="Times New Roman"/>
          <w:color w:val="000000"/>
          <w:sz w:val="24"/>
          <w:szCs w:val="24"/>
        </w:rPr>
      </w:pPr>
    </w:p>
    <w:p w:rsidR="008E052D" w:rsidRDefault="007A4176">
      <w:pPr>
        <w:spacing w:after="0" w:line="240" w:lineRule="auto"/>
        <w:rPr>
          <w:color w:val="000000"/>
          <w:sz w:val="20"/>
          <w:szCs w:val="20"/>
        </w:rPr>
      </w:pPr>
      <w:r>
        <w:rPr>
          <w:color w:val="000000"/>
          <w:sz w:val="20"/>
          <w:szCs w:val="20"/>
        </w:rPr>
        <w:t>Scale:</w:t>
      </w:r>
    </w:p>
    <w:tbl>
      <w:tblPr>
        <w:tblStyle w:val="a0"/>
        <w:tblW w:w="1007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954"/>
        <w:gridCol w:w="9116"/>
      </w:tblGrid>
      <w:tr w:rsidR="008E052D">
        <w:trPr>
          <w:trHeight w:val="220"/>
        </w:trPr>
        <w:tc>
          <w:tcPr>
            <w:tcW w:w="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jc w:val="center"/>
              <w:rPr>
                <w:sz w:val="16"/>
                <w:szCs w:val="16"/>
              </w:rPr>
            </w:pPr>
            <w:r>
              <w:rPr>
                <w:sz w:val="16"/>
                <w:szCs w:val="16"/>
              </w:rPr>
              <w:t>5</w:t>
            </w:r>
          </w:p>
        </w:tc>
        <w:tc>
          <w:tcPr>
            <w:tcW w:w="9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rPr>
                <w:sz w:val="16"/>
                <w:szCs w:val="16"/>
              </w:rPr>
            </w:pPr>
            <w:r>
              <w:rPr>
                <w:sz w:val="16"/>
                <w:szCs w:val="16"/>
              </w:rPr>
              <w:t>Outstanding job in demonstrating this competency</w:t>
            </w:r>
          </w:p>
        </w:tc>
      </w:tr>
      <w:tr w:rsidR="008E052D">
        <w:trPr>
          <w:trHeight w:val="200"/>
        </w:trPr>
        <w:tc>
          <w:tcPr>
            <w:tcW w:w="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jc w:val="center"/>
              <w:rPr>
                <w:sz w:val="16"/>
                <w:szCs w:val="16"/>
              </w:rPr>
            </w:pPr>
            <w:r>
              <w:rPr>
                <w:sz w:val="16"/>
                <w:szCs w:val="16"/>
              </w:rPr>
              <w:t>4</w:t>
            </w:r>
          </w:p>
        </w:tc>
        <w:tc>
          <w:tcPr>
            <w:tcW w:w="9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rPr>
                <w:sz w:val="16"/>
                <w:szCs w:val="16"/>
              </w:rPr>
            </w:pPr>
            <w:r>
              <w:rPr>
                <w:sz w:val="16"/>
                <w:szCs w:val="16"/>
              </w:rPr>
              <w:t>Good job in demonstrating this competency</w:t>
            </w:r>
          </w:p>
        </w:tc>
      </w:tr>
      <w:tr w:rsidR="008E052D">
        <w:trPr>
          <w:trHeight w:val="220"/>
        </w:trPr>
        <w:tc>
          <w:tcPr>
            <w:tcW w:w="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jc w:val="center"/>
              <w:rPr>
                <w:sz w:val="16"/>
                <w:szCs w:val="16"/>
              </w:rPr>
            </w:pPr>
            <w:r>
              <w:rPr>
                <w:sz w:val="16"/>
                <w:szCs w:val="16"/>
              </w:rPr>
              <w:t>3</w:t>
            </w:r>
          </w:p>
        </w:tc>
        <w:tc>
          <w:tcPr>
            <w:tcW w:w="9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rPr>
                <w:sz w:val="16"/>
                <w:szCs w:val="16"/>
              </w:rPr>
            </w:pPr>
            <w:r>
              <w:rPr>
                <w:sz w:val="16"/>
                <w:szCs w:val="16"/>
              </w:rPr>
              <w:t>Satisfactory job in demonstrating this competency</w:t>
            </w:r>
          </w:p>
        </w:tc>
      </w:tr>
      <w:tr w:rsidR="008E052D">
        <w:trPr>
          <w:trHeight w:val="220"/>
        </w:trPr>
        <w:tc>
          <w:tcPr>
            <w:tcW w:w="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jc w:val="center"/>
              <w:rPr>
                <w:sz w:val="16"/>
                <w:szCs w:val="16"/>
              </w:rPr>
            </w:pPr>
            <w:r>
              <w:rPr>
                <w:sz w:val="16"/>
                <w:szCs w:val="16"/>
              </w:rPr>
              <w:t>2</w:t>
            </w:r>
          </w:p>
        </w:tc>
        <w:tc>
          <w:tcPr>
            <w:tcW w:w="9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rPr>
                <w:sz w:val="16"/>
                <w:szCs w:val="16"/>
              </w:rPr>
            </w:pPr>
            <w:r>
              <w:rPr>
                <w:sz w:val="16"/>
                <w:szCs w:val="16"/>
              </w:rPr>
              <w:t>Needs to continue to improve to demonstrate this competency</w:t>
            </w:r>
          </w:p>
        </w:tc>
      </w:tr>
      <w:tr w:rsidR="008E052D">
        <w:trPr>
          <w:trHeight w:val="200"/>
        </w:trPr>
        <w:tc>
          <w:tcPr>
            <w:tcW w:w="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jc w:val="center"/>
              <w:rPr>
                <w:sz w:val="16"/>
                <w:szCs w:val="16"/>
              </w:rPr>
            </w:pPr>
            <w:r>
              <w:rPr>
                <w:sz w:val="16"/>
                <w:szCs w:val="16"/>
              </w:rPr>
              <w:t>1</w:t>
            </w:r>
          </w:p>
        </w:tc>
        <w:tc>
          <w:tcPr>
            <w:tcW w:w="9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rPr>
                <w:sz w:val="16"/>
                <w:szCs w:val="16"/>
              </w:rPr>
            </w:pPr>
            <w:r>
              <w:rPr>
                <w:sz w:val="16"/>
                <w:szCs w:val="16"/>
              </w:rPr>
              <w:t xml:space="preserve">Does not demonstrate this competency    </w:t>
            </w:r>
          </w:p>
        </w:tc>
      </w:tr>
      <w:tr w:rsidR="008E052D">
        <w:trPr>
          <w:trHeight w:val="220"/>
        </w:trPr>
        <w:tc>
          <w:tcPr>
            <w:tcW w:w="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jc w:val="center"/>
              <w:rPr>
                <w:sz w:val="16"/>
                <w:szCs w:val="16"/>
              </w:rPr>
            </w:pPr>
            <w:r>
              <w:rPr>
                <w:sz w:val="16"/>
                <w:szCs w:val="16"/>
              </w:rPr>
              <w:t>N/O</w:t>
            </w:r>
          </w:p>
        </w:tc>
        <w:tc>
          <w:tcPr>
            <w:tcW w:w="91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rPr>
                <w:sz w:val="16"/>
                <w:szCs w:val="16"/>
              </w:rPr>
            </w:pPr>
            <w:r>
              <w:rPr>
                <w:sz w:val="16"/>
                <w:szCs w:val="16"/>
              </w:rPr>
              <w:t xml:space="preserve">Not observed                    </w:t>
            </w:r>
          </w:p>
        </w:tc>
      </w:tr>
    </w:tbl>
    <w:p w:rsidR="008E052D" w:rsidRDefault="007A41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1"/>
        <w:tblW w:w="1006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10060"/>
      </w:tblGrid>
      <w:tr w:rsidR="008E052D">
        <w:tc>
          <w:tcPr>
            <w:tcW w:w="10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PRE-OBSERVATION CONFERENCE</w:t>
            </w:r>
          </w:p>
        </w:tc>
      </w:tr>
      <w:tr w:rsidR="008E052D">
        <w:tc>
          <w:tcPr>
            <w:tcW w:w="10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8E052D">
            <w:pPr>
              <w:spacing w:after="0" w:line="240" w:lineRule="auto"/>
            </w:pPr>
          </w:p>
        </w:tc>
      </w:tr>
    </w:tbl>
    <w:p w:rsidR="008E052D" w:rsidRDefault="008E052D">
      <w:pPr>
        <w:rPr>
          <w:sz w:val="6"/>
          <w:szCs w:val="6"/>
        </w:rPr>
      </w:pPr>
    </w:p>
    <w:tbl>
      <w:tblPr>
        <w:tblStyle w:val="a2"/>
        <w:tblW w:w="1007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6731"/>
        <w:gridCol w:w="555"/>
        <w:gridCol w:w="555"/>
        <w:gridCol w:w="556"/>
        <w:gridCol w:w="556"/>
        <w:gridCol w:w="556"/>
        <w:gridCol w:w="561"/>
      </w:tblGrid>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Demonstrate knowledge and skills in speech-language pathology and related subject areas (e.g., literacy).</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8"/>
              </w:numPr>
              <w:pBdr>
                <w:top w:val="nil"/>
                <w:left w:val="nil"/>
                <w:bottom w:val="nil"/>
                <w:right w:val="nil"/>
                <w:between w:val="nil"/>
              </w:pBdr>
              <w:spacing w:after="0" w:line="240" w:lineRule="auto"/>
              <w:contextualSpacing/>
              <w:rPr>
                <w:color w:val="000000"/>
                <w:sz w:val="18"/>
                <w:szCs w:val="18"/>
              </w:rPr>
            </w:pPr>
            <w:r>
              <w:rPr>
                <w:color w:val="000000"/>
                <w:sz w:val="18"/>
                <w:szCs w:val="18"/>
              </w:rPr>
              <w:t xml:space="preserve">Works with individuals at all ability levels and serves a range of disorders, as appropriate for the setting.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8"/>
              </w:numPr>
              <w:pBdr>
                <w:top w:val="nil"/>
                <w:left w:val="nil"/>
                <w:bottom w:val="nil"/>
                <w:right w:val="nil"/>
                <w:between w:val="nil"/>
              </w:pBdr>
              <w:spacing w:after="0" w:line="240" w:lineRule="auto"/>
              <w:contextualSpacing/>
              <w:rPr>
                <w:color w:val="000000"/>
                <w:sz w:val="18"/>
                <w:szCs w:val="18"/>
              </w:rPr>
            </w:pPr>
            <w:r>
              <w:rPr>
                <w:color w:val="000000"/>
                <w:sz w:val="18"/>
                <w:szCs w:val="18"/>
              </w:rPr>
              <w:t>Completes and provides in-services (i.e., completing professional development).</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8"/>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competence in oral and written communication.</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 xml:space="preserve">     </w:t>
            </w: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8"/>
              </w:numPr>
              <w:pBdr>
                <w:top w:val="nil"/>
                <w:left w:val="nil"/>
                <w:bottom w:val="nil"/>
                <w:right w:val="nil"/>
                <w:between w:val="nil"/>
              </w:pBdr>
              <w:spacing w:after="0" w:line="240" w:lineRule="auto"/>
              <w:contextualSpacing/>
              <w:rPr>
                <w:color w:val="000000"/>
                <w:sz w:val="18"/>
                <w:szCs w:val="18"/>
              </w:rPr>
            </w:pPr>
            <w:r>
              <w:rPr>
                <w:color w:val="000000"/>
                <w:sz w:val="18"/>
                <w:szCs w:val="18"/>
              </w:rPr>
              <w:t>Organizes work space, materials, and equipment.</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Provide culturally and educationally appropriate services, and reflect evidence-based practices</w:t>
            </w:r>
            <w:r>
              <w:rPr>
                <w:color w:val="000000"/>
                <w:sz w:val="18"/>
                <w:szCs w:val="18"/>
              </w:rPr>
              <w:t>.</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Engages students in the session’s activities.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Provides accurate and appropriate feedback to students individually.</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 xml:space="preserve">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lastRenderedPageBreak/>
              <w:t>Implements activities that promote progress on the students’ specific IEP goals.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Has good behavior management skills.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Uses the allocated time efficiently and effectively.</w:t>
            </w:r>
            <w:r>
              <w:rPr>
                <w:i/>
                <w:color w:val="000000"/>
                <w:sz w:val="18"/>
                <w:szCs w:val="18"/>
              </w:rPr>
              <w:t>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Fosters a positive interaction with students.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 xml:space="preserve">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 xml:space="preserve">   </w:t>
            </w: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Provides each student with an opportunity for a significant number or responses.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 xml:space="preserve">Includes curricular objectives or materials in the session.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 xml:space="preserve">Develops and executes appropriate therapy plans. </w:t>
            </w:r>
            <w:r>
              <w:rPr>
                <w:i/>
                <w:color w:val="000000"/>
                <w:sz w:val="18"/>
                <w:szCs w:val="18"/>
              </w:rPr>
              <w:t>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knowledge and skills necessary for providing or facilitating treatment for children from culturally and linguistically different backgrounds.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 xml:space="preserve">      </w:t>
            </w: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 xml:space="preserve">Advocates for appropriate services for students.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ind w:left="276"/>
              <w:jc w:val="center"/>
              <w:rPr>
                <w:color w:val="000000"/>
                <w:sz w:val="18"/>
                <w:szCs w:val="18"/>
              </w:rPr>
            </w:pPr>
            <w:r>
              <w:rPr>
                <w:color w:val="000000"/>
                <w:sz w:val="18"/>
                <w:szCs w:val="18"/>
              </w:rPr>
              <w:t xml:space="preserve">  </w:t>
            </w: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9"/>
              </w:numPr>
              <w:pBdr>
                <w:top w:val="nil"/>
                <w:left w:val="nil"/>
                <w:bottom w:val="nil"/>
                <w:right w:val="nil"/>
                <w:between w:val="nil"/>
              </w:pBdr>
              <w:spacing w:after="0" w:line="240" w:lineRule="auto"/>
              <w:contextualSpacing/>
              <w:rPr>
                <w:color w:val="000000"/>
                <w:sz w:val="18"/>
                <w:szCs w:val="18"/>
              </w:rPr>
            </w:pPr>
            <w:r>
              <w:rPr>
                <w:color w:val="000000"/>
                <w:sz w:val="18"/>
                <w:szCs w:val="18"/>
              </w:rPr>
              <w:t xml:space="preserve">Documents the nature of services and evidence of progress.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Partner with the team to determine eligibility and recommend services that are compliant with state and federal regulations for children with IEPs.</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 xml:space="preserve">Prepares adequately for meetings. </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 xml:space="preserve">     </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Explains contents of the IEP clearly, using language that parents and other team members understand.</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Explains how speech, language, and hearing goals relate to student success with the curriculum.</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Develops understandable and meaningful goals.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Responds appropriately to questions and comments of other team members.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Deals appropriately with conflicts that may occur during the meeting.</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Provides evidence that parent(s) and other team members have been involved in creating IEP content.</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Explains how IEP goals relate to present educational levels.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Completes documentation within a specific timeline using appropriate forms.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Contributes appropriate information to transition plans.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Solicits feedback from parents, teachers, and students about documentation and compliance via checklists and surveys.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Maintains confidentiality and adheres to the IDEA, Section 504, FERPA, and HIPAA regulations related to documentation and compliance.</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1"/>
              </w:numPr>
              <w:pBdr>
                <w:top w:val="nil"/>
                <w:left w:val="nil"/>
                <w:bottom w:val="nil"/>
                <w:right w:val="nil"/>
                <w:between w:val="nil"/>
              </w:pBdr>
              <w:spacing w:after="0" w:line="240" w:lineRule="auto"/>
              <w:contextualSpacing/>
              <w:rPr>
                <w:color w:val="000000"/>
                <w:sz w:val="18"/>
                <w:szCs w:val="18"/>
              </w:rPr>
            </w:pPr>
            <w:r>
              <w:rPr>
                <w:color w:val="000000"/>
                <w:sz w:val="18"/>
                <w:szCs w:val="18"/>
              </w:rPr>
              <w:t>Offers evidence that contributes to the eligibility determination.</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 xml:space="preserve">      </w:t>
            </w:r>
          </w:p>
        </w:tc>
      </w:tr>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Demonstrate ability to conduct appropriate comprehensive evaluations for students who may be experiencing a variety of communication disorders</w:t>
            </w:r>
            <w:r>
              <w:rPr>
                <w:color w:val="000000"/>
                <w:sz w:val="18"/>
                <w:szCs w:val="18"/>
              </w:rPr>
              <w:t>.</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2"/>
              </w:numPr>
              <w:pBdr>
                <w:top w:val="nil"/>
                <w:left w:val="nil"/>
                <w:bottom w:val="nil"/>
                <w:right w:val="nil"/>
                <w:between w:val="nil"/>
              </w:pBdr>
              <w:spacing w:after="0" w:line="240" w:lineRule="auto"/>
              <w:contextualSpacing/>
              <w:rPr>
                <w:color w:val="000000"/>
                <w:sz w:val="18"/>
                <w:szCs w:val="18"/>
              </w:rPr>
            </w:pPr>
            <w:r>
              <w:rPr>
                <w:color w:val="000000"/>
                <w:sz w:val="18"/>
                <w:szCs w:val="18"/>
              </w:rPr>
              <w:t>Gathers case history information.</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2"/>
              </w:numPr>
              <w:pBdr>
                <w:top w:val="nil"/>
                <w:left w:val="nil"/>
                <w:bottom w:val="nil"/>
                <w:right w:val="nil"/>
                <w:between w:val="nil"/>
              </w:pBdr>
              <w:spacing w:after="0" w:line="240" w:lineRule="auto"/>
              <w:contextualSpacing/>
              <w:rPr>
                <w:color w:val="000000"/>
                <w:sz w:val="18"/>
                <w:szCs w:val="18"/>
              </w:rPr>
            </w:pPr>
            <w:r>
              <w:rPr>
                <w:color w:val="000000"/>
                <w:sz w:val="18"/>
                <w:szCs w:val="18"/>
              </w:rPr>
              <w:t>Uses appropriate formal and informal assessment tools.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2"/>
              </w:numPr>
              <w:pBdr>
                <w:top w:val="nil"/>
                <w:left w:val="nil"/>
                <w:bottom w:val="nil"/>
                <w:right w:val="nil"/>
                <w:between w:val="nil"/>
              </w:pBdr>
              <w:spacing w:after="0" w:line="240" w:lineRule="auto"/>
              <w:contextualSpacing/>
              <w:rPr>
                <w:color w:val="000000"/>
                <w:sz w:val="18"/>
                <w:szCs w:val="18"/>
              </w:rPr>
            </w:pPr>
            <w:r>
              <w:rPr>
                <w:color w:val="000000"/>
                <w:sz w:val="18"/>
                <w:szCs w:val="18"/>
              </w:rPr>
              <w:t>Reports assessment findings in a timely manner.</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2"/>
              </w:numPr>
              <w:pBdr>
                <w:top w:val="nil"/>
                <w:left w:val="nil"/>
                <w:bottom w:val="nil"/>
                <w:right w:val="nil"/>
                <w:between w:val="nil"/>
              </w:pBdr>
              <w:spacing w:after="0" w:line="240" w:lineRule="auto"/>
              <w:contextualSpacing/>
              <w:rPr>
                <w:color w:val="000000"/>
                <w:sz w:val="18"/>
                <w:szCs w:val="18"/>
              </w:rPr>
            </w:pPr>
            <w:r>
              <w:rPr>
                <w:color w:val="000000"/>
                <w:sz w:val="18"/>
                <w:szCs w:val="18"/>
              </w:rPr>
              <w:t>Develops appropriate evaluation reports.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2"/>
              </w:numPr>
              <w:pBdr>
                <w:top w:val="nil"/>
                <w:left w:val="nil"/>
                <w:bottom w:val="nil"/>
                <w:right w:val="nil"/>
                <w:between w:val="nil"/>
              </w:pBdr>
              <w:spacing w:after="0" w:line="240" w:lineRule="auto"/>
              <w:contextualSpacing/>
              <w:rPr>
                <w:color w:val="000000"/>
                <w:sz w:val="18"/>
                <w:szCs w:val="18"/>
              </w:rPr>
            </w:pPr>
            <w:r>
              <w:rPr>
                <w:color w:val="000000"/>
                <w:sz w:val="18"/>
                <w:szCs w:val="18"/>
              </w:rPr>
              <w:lastRenderedPageBreak/>
              <w:t>Observes informal and formal testing using a variety of assessment strategies.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rPr>
          <w:trHeight w:val="400"/>
        </w:trPr>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2"/>
              </w:numPr>
              <w:pBdr>
                <w:top w:val="nil"/>
                <w:left w:val="nil"/>
                <w:bottom w:val="nil"/>
                <w:right w:val="nil"/>
                <w:between w:val="nil"/>
              </w:pBdr>
              <w:spacing w:after="0" w:line="240" w:lineRule="auto"/>
              <w:contextualSpacing/>
              <w:rPr>
                <w:color w:val="000000"/>
                <w:sz w:val="18"/>
                <w:szCs w:val="18"/>
              </w:rPr>
            </w:pPr>
            <w:r>
              <w:rPr>
                <w:color w:val="000000"/>
                <w:sz w:val="18"/>
                <w:szCs w:val="18"/>
              </w:rPr>
              <w:t>Creates schedules that reflect assessments to be conducted at designated times (i.e., scheduling blocks).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7A4176">
            <w:pPr>
              <w:spacing w:after="0" w:line="240" w:lineRule="auto"/>
              <w:rPr>
                <w:color w:val="000000"/>
                <w:sz w:val="18"/>
                <w:szCs w:val="18"/>
              </w:rPr>
            </w:pPr>
            <w:r>
              <w:rPr>
                <w:color w:val="000000"/>
                <w:sz w:val="18"/>
                <w:szCs w:val="18"/>
              </w:rPr>
              <w:t xml:space="preserve">       </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2"/>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knowledge and skills necessary for providing or facilitating assessment of children from culturally and linguistically different backgrounds.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Provide appropriate and dynamic service delivery methods consistent with the wide variety of individual student needs.</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3"/>
              </w:numPr>
              <w:pBdr>
                <w:top w:val="nil"/>
                <w:left w:val="nil"/>
                <w:bottom w:val="nil"/>
                <w:right w:val="nil"/>
                <w:between w:val="nil"/>
              </w:pBdr>
              <w:spacing w:after="0" w:line="240" w:lineRule="auto"/>
              <w:contextualSpacing/>
              <w:rPr>
                <w:color w:val="000000"/>
                <w:sz w:val="18"/>
                <w:szCs w:val="18"/>
              </w:rPr>
            </w:pPr>
            <w:r>
              <w:rPr>
                <w:color w:val="000000"/>
                <w:sz w:val="18"/>
                <w:szCs w:val="18"/>
              </w:rPr>
              <w:t>Develops activities that promote progress on students’ specific IEP goals.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3"/>
              </w:numPr>
              <w:pBdr>
                <w:top w:val="nil"/>
                <w:left w:val="nil"/>
                <w:bottom w:val="nil"/>
                <w:right w:val="nil"/>
                <w:between w:val="nil"/>
              </w:pBdr>
              <w:spacing w:after="0" w:line="240" w:lineRule="auto"/>
              <w:contextualSpacing/>
              <w:rPr>
                <w:color w:val="000000"/>
                <w:sz w:val="18"/>
                <w:szCs w:val="18"/>
              </w:rPr>
            </w:pPr>
            <w:r>
              <w:rPr>
                <w:color w:val="000000"/>
                <w:sz w:val="18"/>
                <w:szCs w:val="18"/>
              </w:rPr>
              <w:t>Given a reasonable workload, designs a schedule that allows completion of all work activities in an efficient and effective manner.</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3"/>
              </w:numPr>
              <w:pBdr>
                <w:top w:val="nil"/>
                <w:left w:val="nil"/>
                <w:bottom w:val="nil"/>
                <w:right w:val="nil"/>
                <w:between w:val="nil"/>
              </w:pBdr>
              <w:spacing w:after="0" w:line="240" w:lineRule="auto"/>
              <w:contextualSpacing/>
              <w:rPr>
                <w:color w:val="000000"/>
                <w:sz w:val="18"/>
                <w:szCs w:val="18"/>
              </w:rPr>
            </w:pPr>
            <w:r>
              <w:rPr>
                <w:color w:val="000000"/>
                <w:sz w:val="18"/>
                <w:szCs w:val="18"/>
              </w:rPr>
              <w:t>Changes activities, feedback, or direction of the session when a student is not understanding or able to demonstrate success with the session goal.</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3"/>
              </w:numPr>
              <w:pBdr>
                <w:top w:val="nil"/>
                <w:left w:val="nil"/>
                <w:bottom w:val="nil"/>
                <w:right w:val="nil"/>
                <w:between w:val="nil"/>
              </w:pBdr>
              <w:spacing w:after="0" w:line="240" w:lineRule="auto"/>
              <w:contextualSpacing/>
              <w:rPr>
                <w:color w:val="000000"/>
                <w:sz w:val="18"/>
                <w:szCs w:val="18"/>
              </w:rPr>
            </w:pPr>
            <w:r>
              <w:rPr>
                <w:color w:val="000000"/>
                <w:sz w:val="18"/>
                <w:szCs w:val="18"/>
              </w:rPr>
              <w:t>Records data on student performance during the session.</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Demonstrate collaboration with classroom teachers and other professionals for students in both general and special education.</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4"/>
              </w:numPr>
              <w:pBdr>
                <w:top w:val="nil"/>
                <w:left w:val="nil"/>
                <w:bottom w:val="nil"/>
                <w:right w:val="nil"/>
                <w:between w:val="nil"/>
              </w:pBdr>
              <w:spacing w:after="0" w:line="240" w:lineRule="auto"/>
              <w:contextualSpacing/>
              <w:rPr>
                <w:color w:val="000000"/>
                <w:sz w:val="18"/>
                <w:szCs w:val="18"/>
              </w:rPr>
            </w:pPr>
            <w:r>
              <w:rPr>
                <w:color w:val="000000"/>
                <w:sz w:val="18"/>
                <w:szCs w:val="18"/>
              </w:rPr>
              <w:t>Respects teachers and other professionals.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4"/>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active listening.</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4"/>
              </w:numPr>
              <w:pBdr>
                <w:top w:val="nil"/>
                <w:left w:val="nil"/>
                <w:bottom w:val="nil"/>
                <w:right w:val="nil"/>
                <w:between w:val="nil"/>
              </w:pBdr>
              <w:spacing w:after="0" w:line="240" w:lineRule="auto"/>
              <w:contextualSpacing/>
              <w:rPr>
                <w:color w:val="000000"/>
                <w:sz w:val="18"/>
                <w:szCs w:val="18"/>
              </w:rPr>
            </w:pPr>
            <w:r>
              <w:rPr>
                <w:color w:val="000000"/>
                <w:sz w:val="18"/>
                <w:szCs w:val="18"/>
              </w:rPr>
              <w:t>Presents with a professional demeanor.</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4"/>
              </w:numPr>
              <w:pBdr>
                <w:top w:val="nil"/>
                <w:left w:val="nil"/>
                <w:bottom w:val="nil"/>
                <w:right w:val="nil"/>
                <w:between w:val="nil"/>
              </w:pBdr>
              <w:spacing w:after="0" w:line="240" w:lineRule="auto"/>
              <w:contextualSpacing/>
              <w:rPr>
                <w:color w:val="000000"/>
                <w:sz w:val="18"/>
                <w:szCs w:val="18"/>
              </w:rPr>
            </w:pPr>
            <w:r>
              <w:rPr>
                <w:color w:val="000000"/>
                <w:sz w:val="18"/>
                <w:szCs w:val="18"/>
              </w:rPr>
              <w:t>Responds professionally to feedback.</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4"/>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collaborative instruction or co-teaching.</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4"/>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collaboration in an IEP team meeting and other meetings.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Collaborate with families and provide opportunities for families to be involved in the student’s SLP services.</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sz w:val="18"/>
                <w:szCs w:val="18"/>
              </w:rPr>
            </w:pPr>
            <w:r>
              <w:rPr>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5"/>
              </w:numPr>
              <w:pBdr>
                <w:top w:val="nil"/>
                <w:left w:val="nil"/>
                <w:bottom w:val="nil"/>
                <w:right w:val="nil"/>
                <w:between w:val="nil"/>
              </w:pBdr>
              <w:spacing w:after="0" w:line="240" w:lineRule="auto"/>
              <w:contextualSpacing/>
              <w:rPr>
                <w:color w:val="000000"/>
                <w:sz w:val="18"/>
                <w:szCs w:val="18"/>
              </w:rPr>
            </w:pPr>
            <w:r>
              <w:rPr>
                <w:color w:val="000000"/>
                <w:sz w:val="18"/>
                <w:szCs w:val="18"/>
              </w:rPr>
              <w:t>Respects students and families.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5"/>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active listening.</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5"/>
              </w:numPr>
              <w:pBdr>
                <w:top w:val="nil"/>
                <w:left w:val="nil"/>
                <w:bottom w:val="nil"/>
                <w:right w:val="nil"/>
                <w:between w:val="nil"/>
              </w:pBdr>
              <w:spacing w:after="0" w:line="240" w:lineRule="auto"/>
              <w:contextualSpacing/>
              <w:rPr>
                <w:color w:val="000000"/>
                <w:sz w:val="18"/>
                <w:szCs w:val="18"/>
              </w:rPr>
            </w:pPr>
            <w:r>
              <w:rPr>
                <w:color w:val="000000"/>
                <w:sz w:val="18"/>
                <w:szCs w:val="18"/>
              </w:rPr>
              <w:t>Presents with a professional demeanor.</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5"/>
              </w:numPr>
              <w:pBdr>
                <w:top w:val="nil"/>
                <w:left w:val="nil"/>
                <w:bottom w:val="nil"/>
                <w:right w:val="nil"/>
                <w:between w:val="nil"/>
              </w:pBdr>
              <w:spacing w:after="0" w:line="240" w:lineRule="auto"/>
              <w:contextualSpacing/>
              <w:rPr>
                <w:color w:val="000000"/>
                <w:sz w:val="18"/>
                <w:szCs w:val="18"/>
              </w:rPr>
            </w:pPr>
            <w:r>
              <w:rPr>
                <w:color w:val="000000"/>
                <w:sz w:val="18"/>
                <w:szCs w:val="18"/>
              </w:rPr>
              <w:t>Responds professionally to feedback.</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5"/>
              </w:numPr>
              <w:pBdr>
                <w:top w:val="nil"/>
                <w:left w:val="nil"/>
                <w:bottom w:val="nil"/>
                <w:right w:val="nil"/>
                <w:between w:val="nil"/>
              </w:pBdr>
              <w:spacing w:after="0" w:line="240" w:lineRule="auto"/>
              <w:contextualSpacing/>
              <w:rPr>
                <w:color w:val="000000"/>
                <w:sz w:val="18"/>
                <w:szCs w:val="18"/>
              </w:rPr>
            </w:pPr>
            <w:r>
              <w:rPr>
                <w:color w:val="000000"/>
                <w:sz w:val="18"/>
                <w:szCs w:val="18"/>
              </w:rPr>
              <w:t>Demonstrates collaboration with families in an IEP team meeting and other meetings.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5"/>
              </w:numPr>
              <w:pBdr>
                <w:top w:val="nil"/>
                <w:left w:val="nil"/>
                <w:bottom w:val="nil"/>
                <w:right w:val="nil"/>
                <w:between w:val="nil"/>
              </w:pBdr>
              <w:spacing w:after="0" w:line="240" w:lineRule="auto"/>
              <w:contextualSpacing/>
              <w:rPr>
                <w:color w:val="000000"/>
                <w:sz w:val="18"/>
                <w:szCs w:val="18"/>
              </w:rPr>
            </w:pPr>
            <w:r>
              <w:rPr>
                <w:color w:val="000000"/>
                <w:sz w:val="18"/>
                <w:szCs w:val="18"/>
              </w:rPr>
              <w:t>Shows evidence of communication with families (e.g., parent communication log).</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rsidR="008E052D" w:rsidRDefault="007A4176">
            <w:pPr>
              <w:numPr>
                <w:ilvl w:val="0"/>
                <w:numId w:val="7"/>
              </w:numPr>
              <w:pBdr>
                <w:top w:val="nil"/>
                <w:left w:val="nil"/>
                <w:bottom w:val="nil"/>
                <w:right w:val="nil"/>
                <w:between w:val="nil"/>
              </w:pBdr>
              <w:spacing w:after="0" w:line="240" w:lineRule="auto"/>
              <w:contextualSpacing/>
              <w:rPr>
                <w:b/>
                <w:color w:val="000000"/>
                <w:sz w:val="18"/>
                <w:szCs w:val="18"/>
              </w:rPr>
            </w:pPr>
            <w:r>
              <w:rPr>
                <w:b/>
                <w:color w:val="000000"/>
                <w:sz w:val="18"/>
                <w:szCs w:val="18"/>
              </w:rPr>
              <w:t>Earn continuing education of professional development units sufficient to meet ASHA requirements for certification maintenance as well as state certification and licensing requirements.</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color w:val="000000"/>
                <w:sz w:val="18"/>
                <w:szCs w:val="18"/>
              </w:rPr>
            </w:pPr>
            <w:r>
              <w:rPr>
                <w:color w:val="000000"/>
                <w:sz w:val="18"/>
                <w:szCs w:val="18"/>
              </w:rPr>
              <w:t>5</w:t>
            </w:r>
          </w:p>
        </w:tc>
        <w:tc>
          <w:tcPr>
            <w:tcW w:w="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color w:val="000000"/>
                <w:sz w:val="18"/>
                <w:szCs w:val="18"/>
              </w:rPr>
            </w:pPr>
            <w:r>
              <w:rPr>
                <w:color w:val="000000"/>
                <w:sz w:val="18"/>
                <w:szCs w:val="18"/>
              </w:rPr>
              <w:t>4</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color w:val="000000"/>
                <w:sz w:val="18"/>
                <w:szCs w:val="18"/>
              </w:rPr>
            </w:pPr>
            <w:r>
              <w:rPr>
                <w:color w:val="000000"/>
                <w:sz w:val="18"/>
                <w:szCs w:val="18"/>
              </w:rPr>
              <w:t>3</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color w:val="000000"/>
                <w:sz w:val="18"/>
                <w:szCs w:val="18"/>
              </w:rPr>
            </w:pPr>
            <w:r>
              <w:rPr>
                <w:color w:val="000000"/>
                <w:sz w:val="18"/>
                <w:szCs w:val="18"/>
              </w:rPr>
              <w:t>2</w:t>
            </w:r>
          </w:p>
        </w:tc>
        <w:tc>
          <w:tcPr>
            <w:tcW w:w="55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color w:val="000000"/>
                <w:sz w:val="18"/>
                <w:szCs w:val="18"/>
              </w:rPr>
            </w:pPr>
            <w:r>
              <w:rPr>
                <w:color w:val="000000"/>
                <w:sz w:val="18"/>
                <w:szCs w:val="18"/>
              </w:rPr>
              <w:t>1</w:t>
            </w:r>
          </w:p>
        </w:tc>
        <w:tc>
          <w:tcPr>
            <w:tcW w:w="5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vAlign w:val="center"/>
          </w:tcPr>
          <w:p w:rsidR="008E052D" w:rsidRDefault="007A4176">
            <w:pPr>
              <w:spacing w:after="0" w:line="240" w:lineRule="auto"/>
              <w:jc w:val="center"/>
              <w:rPr>
                <w:color w:val="000000"/>
                <w:sz w:val="18"/>
                <w:szCs w:val="18"/>
              </w:rPr>
            </w:pPr>
            <w:r>
              <w:rPr>
                <w:color w:val="000000"/>
                <w:sz w:val="18"/>
                <w:szCs w:val="18"/>
              </w:rPr>
              <w:t>N/O</w:t>
            </w: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6"/>
              </w:numPr>
              <w:pBdr>
                <w:top w:val="nil"/>
                <w:left w:val="nil"/>
                <w:bottom w:val="nil"/>
                <w:right w:val="nil"/>
                <w:between w:val="nil"/>
              </w:pBdr>
              <w:spacing w:after="0" w:line="240" w:lineRule="auto"/>
              <w:contextualSpacing/>
              <w:rPr>
                <w:color w:val="000000"/>
                <w:sz w:val="18"/>
                <w:szCs w:val="18"/>
              </w:rPr>
            </w:pPr>
            <w:r>
              <w:rPr>
                <w:color w:val="000000"/>
                <w:sz w:val="18"/>
                <w:szCs w:val="18"/>
              </w:rPr>
              <w:t>Completes in-services (i.e., completes professional development).</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6"/>
              </w:numPr>
              <w:pBdr>
                <w:top w:val="nil"/>
                <w:left w:val="nil"/>
                <w:bottom w:val="nil"/>
                <w:right w:val="nil"/>
                <w:between w:val="nil"/>
              </w:pBdr>
              <w:spacing w:after="0" w:line="240" w:lineRule="auto"/>
              <w:contextualSpacing/>
              <w:rPr>
                <w:color w:val="000000"/>
                <w:sz w:val="18"/>
                <w:szCs w:val="18"/>
              </w:rPr>
            </w:pPr>
            <w:r>
              <w:rPr>
                <w:color w:val="000000"/>
                <w:sz w:val="18"/>
                <w:szCs w:val="18"/>
              </w:rPr>
              <w:t>Provides in-services (i.e., provides professional development)</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r w:rsidR="008E052D">
        <w:tc>
          <w:tcPr>
            <w:tcW w:w="6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numPr>
                <w:ilvl w:val="0"/>
                <w:numId w:val="6"/>
              </w:numPr>
              <w:pBdr>
                <w:top w:val="nil"/>
                <w:left w:val="nil"/>
                <w:bottom w:val="nil"/>
                <w:right w:val="nil"/>
                <w:between w:val="nil"/>
              </w:pBdr>
              <w:spacing w:after="0" w:line="240" w:lineRule="auto"/>
              <w:contextualSpacing/>
              <w:rPr>
                <w:color w:val="000000"/>
                <w:sz w:val="18"/>
                <w:szCs w:val="18"/>
              </w:rPr>
            </w:pPr>
            <w:r>
              <w:rPr>
                <w:color w:val="000000"/>
                <w:sz w:val="18"/>
                <w:szCs w:val="18"/>
              </w:rPr>
              <w:t>Participates in state, school, or local associations; meetings and conferences; and/or professional learning communities.</w:t>
            </w: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c>
          <w:tcPr>
            <w:tcW w:w="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8E052D" w:rsidRDefault="008E052D">
            <w:pPr>
              <w:spacing w:after="0" w:line="240" w:lineRule="auto"/>
              <w:ind w:left="276"/>
              <w:jc w:val="center"/>
              <w:rPr>
                <w:color w:val="000000"/>
                <w:sz w:val="18"/>
                <w:szCs w:val="18"/>
              </w:rPr>
            </w:pPr>
          </w:p>
        </w:tc>
      </w:tr>
    </w:tbl>
    <w:p w:rsidR="008E052D" w:rsidRDefault="008E052D">
      <w:pPr>
        <w:spacing w:after="0" w:line="240" w:lineRule="auto"/>
        <w:rPr>
          <w:color w:val="000000"/>
        </w:rPr>
      </w:pPr>
    </w:p>
    <w:tbl>
      <w:tblPr>
        <w:tblStyle w:val="a3"/>
        <w:tblW w:w="1006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10060"/>
      </w:tblGrid>
      <w:tr w:rsidR="008E052D">
        <w:tc>
          <w:tcPr>
            <w:tcW w:w="10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7A41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Post-observation conference:</w:t>
            </w:r>
          </w:p>
        </w:tc>
      </w:tr>
      <w:tr w:rsidR="008E052D">
        <w:tc>
          <w:tcPr>
            <w:tcW w:w="10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E052D" w:rsidRDefault="008E052D">
            <w:pPr>
              <w:spacing w:after="0" w:line="240" w:lineRule="auto"/>
            </w:pPr>
            <w:bookmarkStart w:id="2" w:name="_30j0zll" w:colFirst="0" w:colLast="0"/>
            <w:bookmarkEnd w:id="2"/>
          </w:p>
        </w:tc>
      </w:tr>
    </w:tbl>
    <w:p w:rsidR="008E052D" w:rsidRDefault="008E052D"/>
    <w:p w:rsidR="008E052D" w:rsidRDefault="007A4176">
      <w:pPr>
        <w:rPr>
          <w:sz w:val="24"/>
          <w:szCs w:val="24"/>
        </w:rPr>
      </w:pPr>
      <w:r>
        <w:rPr>
          <w:sz w:val="24"/>
          <w:szCs w:val="24"/>
        </w:rPr>
        <w:t>Signature of Evaluator:</w:t>
      </w:r>
      <w:r>
        <w:rPr>
          <w:sz w:val="24"/>
          <w:szCs w:val="24"/>
        </w:rPr>
        <w:tab/>
        <w:t>__________________________________</w:t>
      </w:r>
    </w:p>
    <w:p w:rsidR="008E052D" w:rsidRDefault="007A4176">
      <w:pPr>
        <w:rPr>
          <w:sz w:val="24"/>
          <w:szCs w:val="24"/>
        </w:rPr>
      </w:pPr>
      <w:r>
        <w:rPr>
          <w:sz w:val="24"/>
          <w:szCs w:val="24"/>
        </w:rPr>
        <w:t xml:space="preserve">Signature of Employee:         </w:t>
      </w:r>
      <w:r>
        <w:rPr>
          <w:sz w:val="24"/>
          <w:szCs w:val="24"/>
        </w:rPr>
        <w:tab/>
        <w:t>__________________________________</w:t>
      </w:r>
    </w:p>
    <w:p w:rsidR="008E052D" w:rsidRDefault="007A4176">
      <w:pPr>
        <w:rPr>
          <w:sz w:val="24"/>
          <w:szCs w:val="24"/>
        </w:rPr>
      </w:pPr>
      <w:r>
        <w:rPr>
          <w:sz w:val="24"/>
          <w:szCs w:val="24"/>
        </w:rPr>
        <w:t>Date of Conference:</w:t>
      </w:r>
      <w:r>
        <w:rPr>
          <w:sz w:val="24"/>
          <w:szCs w:val="24"/>
        </w:rPr>
        <w:tab/>
      </w:r>
      <w:r>
        <w:rPr>
          <w:sz w:val="24"/>
          <w:szCs w:val="24"/>
        </w:rPr>
        <w:tab/>
        <w:t>__________________________________</w:t>
      </w:r>
    </w:p>
    <w:sectPr w:rsidR="008E052D">
      <w:headerReference w:type="default" r:id="rId7"/>
      <w:footerReference w:type="default" r:id="rId8"/>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0D" w:rsidRDefault="00BC000D">
      <w:pPr>
        <w:spacing w:after="0" w:line="240" w:lineRule="auto"/>
      </w:pPr>
      <w:r>
        <w:separator/>
      </w:r>
    </w:p>
  </w:endnote>
  <w:endnote w:type="continuationSeparator" w:id="0">
    <w:p w:rsidR="00BC000D" w:rsidRDefault="00BC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2D" w:rsidRDefault="008E052D">
    <w:pPr>
      <w:pBdr>
        <w:top w:val="nil"/>
        <w:left w:val="nil"/>
        <w:bottom w:val="nil"/>
        <w:right w:val="nil"/>
        <w:between w:val="nil"/>
      </w:pBdr>
      <w:tabs>
        <w:tab w:val="center" w:pos="4680"/>
        <w:tab w:val="right" w:pos="9360"/>
      </w:tabs>
      <w:spacing w:after="0" w:line="240" w:lineRule="auto"/>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0D" w:rsidRDefault="00BC000D">
      <w:pPr>
        <w:spacing w:after="0" w:line="240" w:lineRule="auto"/>
      </w:pPr>
      <w:r>
        <w:separator/>
      </w:r>
    </w:p>
  </w:footnote>
  <w:footnote w:type="continuationSeparator" w:id="0">
    <w:p w:rsidR="00BC000D" w:rsidRDefault="00BC0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2D" w:rsidRDefault="008E052D">
    <w:pPr>
      <w:pBdr>
        <w:top w:val="nil"/>
        <w:left w:val="nil"/>
        <w:bottom w:val="nil"/>
        <w:right w:val="nil"/>
        <w:between w:val="nil"/>
      </w:pBdr>
      <w:tabs>
        <w:tab w:val="center" w:pos="4680"/>
        <w:tab w:val="right" w:pos="9360"/>
      </w:tabs>
      <w:spacing w:after="0" w:line="240" w:lineRule="auto"/>
      <w:jc w:val="center"/>
      <w:rPr>
        <w:color w:val="000000"/>
      </w:rPr>
    </w:pPr>
  </w:p>
  <w:p w:rsidR="008E052D" w:rsidRDefault="008E052D">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567E"/>
    <w:multiLevelType w:val="multilevel"/>
    <w:tmpl w:val="B35676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417AC5"/>
    <w:multiLevelType w:val="multilevel"/>
    <w:tmpl w:val="4B1269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29F453A"/>
    <w:multiLevelType w:val="multilevel"/>
    <w:tmpl w:val="F08020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AB25B66"/>
    <w:multiLevelType w:val="multilevel"/>
    <w:tmpl w:val="3C307F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A15680"/>
    <w:multiLevelType w:val="multilevel"/>
    <w:tmpl w:val="7CC295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D1E0C91"/>
    <w:multiLevelType w:val="multilevel"/>
    <w:tmpl w:val="76D689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084716B"/>
    <w:multiLevelType w:val="multilevel"/>
    <w:tmpl w:val="D5E676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1C3CEE"/>
    <w:multiLevelType w:val="multilevel"/>
    <w:tmpl w:val="90EAC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614B6E"/>
    <w:multiLevelType w:val="multilevel"/>
    <w:tmpl w:val="032E76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D"/>
    <w:rsid w:val="001B4B1F"/>
    <w:rsid w:val="007662DB"/>
    <w:rsid w:val="007A4176"/>
    <w:rsid w:val="008E052D"/>
    <w:rsid w:val="008F2A5E"/>
    <w:rsid w:val="00964F0A"/>
    <w:rsid w:val="00BC000D"/>
    <w:rsid w:val="00DD68C5"/>
    <w:rsid w:val="00DE2E52"/>
    <w:rsid w:val="00E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64E3-1242-4C8A-9ED3-C965D20C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1" w:type="dxa"/>
        <w:right w:w="101"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E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Scandella, Carole B. (ESC)</dc:creator>
  <cp:lastModifiedBy>Alunni, Victoria M. (ESC)</cp:lastModifiedBy>
  <cp:revision>4</cp:revision>
  <cp:lastPrinted>2018-09-07T14:59:00Z</cp:lastPrinted>
  <dcterms:created xsi:type="dcterms:W3CDTF">2018-09-07T14:59:00Z</dcterms:created>
  <dcterms:modified xsi:type="dcterms:W3CDTF">2018-09-07T15:21:00Z</dcterms:modified>
</cp:coreProperties>
</file>